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52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52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52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highlight w:val="none"/>
        </w:rPr>
        <w:t>02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highlight w:val="none"/>
          <w:lang w:val="en-US" w:eastAsia="zh-CN"/>
        </w:rPr>
        <w:t>3年玉溪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52"/>
          <w:szCs w:val="52"/>
          <w:highlight w:val="none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b/>
          <w:bCs w:val="0"/>
          <w:sz w:val="52"/>
          <w:szCs w:val="52"/>
          <w:highlight w:val="none"/>
          <w:lang w:val="en-US" w:eastAsia="zh-CN"/>
        </w:rPr>
        <w:t>首届校园CTF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52"/>
          <w:szCs w:val="52"/>
          <w:highlight w:val="none"/>
          <w:lang w:val="en-US" w:eastAsia="zh-CN"/>
        </w:rPr>
        <w:t>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52"/>
          <w:szCs w:val="52"/>
          <w:highlight w:val="none"/>
          <w:lang w:val="en-US" w:eastAsia="zh-CN"/>
        </w:rPr>
        <w:t>组织方案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小标宋_GBK" w:hAnsi="方正小标宋_GBK" w:eastAsia="方正小标宋_GBK" w:cs="方正小标宋_GBK"/>
          <w:sz w:val="52"/>
          <w:szCs w:val="5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  <w:bookmarkStart w:id="0" w:name="_Toc74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36" w:right="1576" w:bottom="1440" w:left="1576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linePitch="312" w:charSpace="0"/>
        </w:sect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2023年11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</w:rPr>
        <w:t>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为更好地学习宣传贯彻党的二十大精神，贯彻落实习近平总书记关于网络强国的重要思想，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提升玉溪市校园师生网络安全意识，促进网络安全人才培养，培养信息安全综合职业素养及职业能力，实现以赛促学、以赛促教的理念，现拟举办2023年玉溪市首届校园CTF大赛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本次比赛将选拔成绩优异的同学组成玉溪市网络安全校队联盟，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吸纳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进玉溪市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网络安全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储备人才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名单。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highlight w:val="none"/>
          <w:lang w:eastAsia="zh-CN"/>
        </w:rPr>
        <w:t>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400" w:hangingChars="5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主办单位：玉溪师范学院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396" w:leftChars="665" w:firstLine="0" w:firstLine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云南玉溪奇安信科技有限公司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400" w:hangingChars="5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协办单位：云南省智慧城市网络空间安全重点实验室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  <w:t>参赛对象与组织形式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参赛对象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玉溪师范学院、玉溪技师学院、云南民族大学应用技术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学院、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玉溪农业职业技术学院等玉溪院校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信息安全相关专业的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  <w:t>全日制在校生。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组队形式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参赛学校推荐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战队参加现场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比赛，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参赛战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队总数不超过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30队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。每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队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3人组成（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队长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1名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、队员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名），并取战队名称及设计战队LOGO，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不得跨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建战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每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支战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队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只能选定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名指导教师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指导教师须为本校专职教师。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  <w:t>比</w:t>
      </w:r>
      <w:r>
        <w:rPr>
          <w:rFonts w:hint="eastAsia" w:ascii="方正小标宋_GBK" w:hAnsi="方正小标宋_GBK" w:eastAsia="方正小标宋_GBK" w:cs="方正小标宋_GBK"/>
          <w:highlight w:val="none"/>
        </w:rPr>
        <w:t>赛</w:t>
      </w:r>
      <w:r>
        <w:rPr>
          <w:rFonts w:hint="eastAsia" w:ascii="方正小标宋_GBK" w:hAnsi="方正小标宋_GBK" w:eastAsia="方正小标宋_GBK" w:cs="方正小标宋_GBK"/>
          <w:highlight w:val="none"/>
          <w:lang w:eastAsia="zh-CN"/>
        </w:rPr>
        <w:t>日程及安排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3年12月2日（周六），上午9:00至12:00，共3小时。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textAlignment w:val="auto"/>
        <w:rPr>
          <w:rFonts w:hint="eastAsia" w:ascii="Times New Roman" w:hAnsi="Times New Roman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/>
          <w:color w:val="000000"/>
          <w:highlight w:val="none"/>
          <w:lang w:val="en-US" w:eastAsia="zh-CN"/>
        </w:rPr>
        <w:t>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即日起至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11月24日下午17:00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textAlignment w:val="auto"/>
        <w:rPr>
          <w:rFonts w:hint="eastAsia" w:ascii="Times New Roman" w:hAnsi="Times New Roman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/>
          <w:color w:val="000000"/>
          <w:highlight w:val="none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参赛学校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请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报名截止时间前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填好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名表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提交至大赛指定报名邮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27554627@qq.com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）。各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战队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成员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和指导教师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按要求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加入大赛QQ群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582113485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，以便接收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比赛相关信息。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比赛地点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玉溪师范学院实训大楼A座2楼攻防靶场。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Web渗透、密码学、安全杂项、信息安全相关理论。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比赛形式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200" w:hanging="140" w:hangingChars="5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理论考试：共50道选择题，30分钟答题时间；选手完成答题即可得分。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200" w:hanging="140" w:hangingChars="5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夺旗赛：共20道题，每题按照难度给分，2小时答题时间；解题过程需通过在线或离线分析技术挑战后获取Flag，提交验证正确后给予相应分数。比赛结束时，先依据各参赛队完成的赛题分值的多少，再参考所用时间的长短，最终决定比赛名次。完成题目分值最多且所用时间最短者获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leftChars="0" w:hanging="425" w:firstLineChars="0"/>
        <w:textAlignment w:val="auto"/>
        <w:rPr>
          <w:rFonts w:hint="eastAsia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200" w:hanging="140" w:hangingChars="5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个人奖励。根据参赛选手个人成绩排名评定一等奖1人（奖金1000元和获奖证书）、二等奖2人（奖品和获奖证书）、三等奖3人（奖品和获奖证书）。参赛个人成绩排名第4至50名以内的选手获优胜奖，颁发获奖证书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200" w:hanging="140" w:hangingChars="5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团队奖励。取每支战队3名选手的个人成绩之和作为战队成绩。根据战队成绩排名评定一等奖1队、二等奖2队、三等奖3队，颁发获奖证书及奖牌。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200" w:hanging="140" w:hangingChars="50"/>
        <w:textAlignment w:val="auto"/>
        <w:rPr>
          <w:rFonts w:hint="eastAsia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获奖证书及奖牌由云南省智慧城市网络空间安全重点实验室和</w:t>
      </w:r>
      <w:r>
        <w:rPr>
          <w:rFonts w:hint="eastAsia" w:eastAsia="宋体" w:cs="Times New Roman"/>
          <w:color w:val="auto"/>
          <w:sz w:val="28"/>
          <w:szCs w:val="28"/>
          <w:highlight w:val="none"/>
          <w:lang w:val="en-US" w:eastAsia="zh-CN"/>
        </w:rPr>
        <w:t>玉溪网络安全生态示范园联合签发。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  <w:t>本次大赛相关安排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大赛选拔个人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排名前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0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名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以内选手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纳入玉溪市网络安全校队联盟，同时纳入玉溪市高层次人才创新创业示范基地网络空间安全人才库，由平台提供优质网络安全基础课程，实训课程，优先推荐参加各级别网络安全相关赛事，优先推荐就业。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各参赛学校以此大赛为契机，依托云南省智慧城市网络空间重点实验室，结合专业建设，进行教学交流及研讨，并形成玉溪市高校、职业学院网络安全人才培养联盟体，共同为玉溪市数字经济发展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夯实安全底座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维护网络空间安全，为全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市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高质量跨越式发展提供有力网络安全支撑和人才保障。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  <w:t>赛前培训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本次大赛在每场初赛前组织线上直播培训，通过“腾讯会议”方式进行，剩余内容根据课余时间由学员进行自学，学习材料在完成报名后提供线上学习资料下载链接。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此次培训为期3天，课程安排如下：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4211"/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193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授课时间</w:t>
            </w:r>
          </w:p>
        </w:tc>
        <w:tc>
          <w:tcPr>
            <w:tcW w:w="2457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5244" w:type="dxa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1"/>
                <w:szCs w:val="21"/>
                <w:highlight w:val="none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11月20日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19:00-21:00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</w:rPr>
              <w:t>CTF-渗透测试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</w:rPr>
              <w:t>了解掌握CTF常见套路、Web应用常见漏洞利用、常规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WAF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</w:rPr>
              <w:t>绕过、常见渗透工具使用以及渗透实践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11月23日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19:00-21:00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</w:rPr>
              <w:t>CTF-杂项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</w:rPr>
              <w:t>图片隐写、音频隐写、视频隐写、等多项技能学习实操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11月27日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19:00-21:00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</w:rPr>
              <w:t>CTF-密码学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</w:rPr>
              <w:t>掌握常见加密方式，学习古典密码、现代密码等多种密码加密以及解密技巧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及实操。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赛前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CTF平台使用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（内容放参赛手册）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highlight w:val="none"/>
                <w:lang w:val="en-US" w:eastAsia="zh-CN"/>
              </w:rPr>
              <w:t>讲解决赛CTF平台使用方法及注意事项。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highlight w:val="none"/>
          <w:lang w:val="en-US" w:eastAsia="zh-CN"/>
        </w:rPr>
        <w:t>赛场要求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000000"/>
          <w:sz w:val="28"/>
          <w:szCs w:val="28"/>
          <w:highlight w:val="none"/>
        </w:rPr>
        <w:t>参赛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战队通过抽签决定赛场座位位置。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理论题阶段不允许离开比赛座位。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比赛正式开始后迟到30分钟者不得进入比赛场地。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禁止任何对比赛相关平台的暴力破解和攻击，违规者一律取消参赛资格并进行公示。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禁止DDoS、ARP等干扰比赛正常进行的攻击，违规者一律取消参赛资格并进行公示。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禁止任何针对参赛对手的网络攻击行为，违规者一律取消参赛资格并进行公示。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禁止使用任何漏洞扫描工具，违规者一律取消参赛资格并进行公示。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禁止对本平台进行重放数据包攻击，限制频率为10次/秒、禁止DDOS类型攻击，如有违规，违规者所在的团队会被禁止访问比赛系统10分钟。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比赛过程中发现问题，应当示意裁判组，由裁判组进行解答。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比赛过程中禁止相互交流，禁止参赛队伍之间分享任何解题思路及flag，违规者一律取消参赛资格并进行公示。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比赛中裁判有可能抽查获取得分点的方法，如果发现回答有误，疑似非法渠道获取答案的，取消其该项得分，严重者取消比赛资格并进行公示。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团体赛防守方通过发现并修复业务系统的漏洞，防止被攻击者攻击，以保证不被扣分。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团体赛参赛队伍必须保证防守机正常运行，保持特定服务或端口处于正常服务状态，对漏洞的修复不得影响服务的正常功能。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比赛结束（或提前完成）后，参赛选手不得进行任何操作。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比赛过程中，请服从和配合裁判和现场工作人员的相关安排。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比赛规则及所有题目的最终解释权归大赛组委会所有。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highlight w:val="none"/>
        </w:rPr>
      </w:pPr>
      <w:r>
        <w:rPr>
          <w:rFonts w:hint="eastAsia" w:ascii="方正小标宋_GBK" w:hAnsi="方正小标宋_GBK" w:eastAsia="方正小标宋_GBK" w:cs="方正小标宋_GBK"/>
          <w:highlight w:val="none"/>
          <w:lang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希望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参赛学校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积极支持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与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配合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，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推选优秀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学生参与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，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以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确保大赛活动顺利举行。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</w:rPr>
        <w:t>做好宣传工作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主办方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协同各参赛学校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将宣传工作与赛事筹办及参赛备工作同步筹划、安排、推进，全面展示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学生们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勇于探索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坚持不懈、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永争第一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的精神风貌。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</w:rPr>
        <w:t>加强人员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安全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管理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各参赛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学校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要做好派出人员的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安全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管理工作，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确保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比赛期间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各</w:t>
      </w:r>
      <w:r>
        <w:rPr>
          <w:rFonts w:hint="eastAsia" w:eastAsia="宋体" w:cs="Times New Roman"/>
          <w:color w:val="000000"/>
          <w:sz w:val="28"/>
          <w:szCs w:val="28"/>
          <w:highlight w:val="none"/>
        </w:rPr>
        <w:t>参赛人员的安</w:t>
      </w:r>
      <w:r>
        <w:rPr>
          <w:rFonts w:hint="eastAsia" w:eastAsia="宋体" w:cs="Times New Roman"/>
          <w:color w:val="000000"/>
          <w:sz w:val="28"/>
          <w:szCs w:val="28"/>
          <w:highlight w:val="none"/>
          <w:lang w:eastAsia="zh-CN"/>
        </w:rPr>
        <w:t>全。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5" w:leftChars="150" w:firstLine="0" w:firstLineChars="0"/>
        <w:textAlignment w:val="auto"/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宋体" w:cs="Times New Roman"/>
          <w:color w:val="000000"/>
          <w:sz w:val="28"/>
          <w:szCs w:val="28"/>
          <w:highlight w:val="none"/>
          <w:lang w:val="en-US" w:eastAsia="zh-CN"/>
        </w:rPr>
        <w:t>所有参赛队伍报到时间以赛前通知为准，并领取参赛证件、参赛手册。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highlight w:val="none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大赛后续通知将通过报名QQ群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582113485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发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布，同时对参赛同学进行答疑。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欢迎玉溪市各校同学们踊跃报名参赛！</w:t>
      </w:r>
      <w:bookmarkStart w:id="1" w:name="_GoBack"/>
      <w:bookmarkEnd w:id="1"/>
    </w:p>
    <w:sectPr>
      <w:pgSz w:w="16838" w:h="11906" w:orient="landscape"/>
      <w:pgMar w:top="397" w:right="283" w:bottom="397" w:left="28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2859B5-6FFD-4B4E-8A34-D85003C07E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B860D44-059C-48AF-876B-DE85EB4E85C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82B309E-6C46-49D8-9214-144D860F17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0" w:firstLineChars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1610" cy="8848090"/>
          <wp:effectExtent l="0" t="0" r="15875" b="17145"/>
          <wp:wrapNone/>
          <wp:docPr id="2" name="WordPictureWatermark26561202" descr="/Users/home/Desktop/制作图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6561202" descr="/Users/home/Desktop/制作图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1610" cy="884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1610" cy="8848090"/>
          <wp:effectExtent l="0" t="0" r="15875" b="17145"/>
          <wp:wrapNone/>
          <wp:docPr id="1" name="WordPictureWatermark26561201" descr="/Users/home/Desktop/制作图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561201" descr="/Users/home/Desktop/制作图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1610" cy="884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39856"/>
    <w:multiLevelType w:val="singleLevel"/>
    <w:tmpl w:val="89139856"/>
    <w:lvl w:ilvl="0" w:tentative="0">
      <w:start w:val="1"/>
      <w:numFmt w:val="decimal"/>
      <w:suff w:val="space"/>
      <w:lvlText w:val="(%1)"/>
      <w:lvlJc w:val="righ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</w:abstractNum>
  <w:abstractNum w:abstractNumId="1">
    <w:nsid w:val="8F0D4AF0"/>
    <w:multiLevelType w:val="singleLevel"/>
    <w:tmpl w:val="8F0D4AF0"/>
    <w:lvl w:ilvl="0" w:tentative="0">
      <w:start w:val="1"/>
      <w:numFmt w:val="decimal"/>
      <w:suff w:val="space"/>
      <w:lvlText w:val="(%1)"/>
      <w:lvlJc w:val="right"/>
      <w:pPr>
        <w:tabs>
          <w:tab w:val="left" w:pos="420"/>
        </w:tabs>
        <w:ind w:left="0" w:firstLine="40"/>
      </w:pPr>
      <w:rPr>
        <w:rFonts w:hint="default" w:ascii="宋体" w:hAnsi="宋体" w:eastAsia="宋体" w:cs="宋体"/>
      </w:rPr>
    </w:lvl>
  </w:abstractNum>
  <w:abstractNum w:abstractNumId="2">
    <w:nsid w:val="F5482C61"/>
    <w:multiLevelType w:val="singleLevel"/>
    <w:tmpl w:val="F5482C61"/>
    <w:lvl w:ilvl="0" w:tentative="0">
      <w:start w:val="1"/>
      <w:numFmt w:val="decimal"/>
      <w:suff w:val="nothing"/>
      <w:lvlText w:val="%1."/>
      <w:lvlJc w:val="right"/>
      <w:pPr>
        <w:tabs>
          <w:tab w:val="left" w:pos="0"/>
        </w:tabs>
        <w:ind w:left="0" w:firstLine="30"/>
      </w:pPr>
      <w:rPr>
        <w:rFonts w:hint="default" w:ascii="宋体" w:hAnsi="宋体" w:eastAsia="宋体" w:cs="宋体"/>
      </w:rPr>
    </w:lvl>
  </w:abstractNum>
  <w:abstractNum w:abstractNumId="3">
    <w:nsid w:val="2C717CE3"/>
    <w:multiLevelType w:val="singleLevel"/>
    <w:tmpl w:val="2C717CE3"/>
    <w:lvl w:ilvl="0" w:tentative="0">
      <w:start w:val="1"/>
      <w:numFmt w:val="decimal"/>
      <w:suff w:val="nothing"/>
      <w:lvlText w:val="%1."/>
      <w:lvlJc w:val="right"/>
      <w:pPr>
        <w:tabs>
          <w:tab w:val="left" w:pos="0"/>
        </w:tabs>
        <w:ind w:left="0" w:firstLine="30"/>
      </w:pPr>
      <w:rPr>
        <w:rFonts w:hint="default" w:ascii="宋体" w:hAnsi="宋体" w:eastAsia="宋体" w:cs="宋体"/>
      </w:rPr>
    </w:lvl>
  </w:abstractNum>
  <w:abstractNum w:abstractNumId="4">
    <w:nsid w:val="392D1130"/>
    <w:multiLevelType w:val="singleLevel"/>
    <w:tmpl w:val="392D11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EE3164C"/>
    <w:multiLevelType w:val="singleLevel"/>
    <w:tmpl w:val="4EE3164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5C2506DB"/>
    <w:multiLevelType w:val="singleLevel"/>
    <w:tmpl w:val="5C2506DB"/>
    <w:lvl w:ilvl="0" w:tentative="0">
      <w:start w:val="1"/>
      <w:numFmt w:val="decimal"/>
      <w:pStyle w:val="4"/>
      <w:lvlText w:val="%1.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7">
    <w:nsid w:val="72D2D9E2"/>
    <w:multiLevelType w:val="singleLevel"/>
    <w:tmpl w:val="72D2D9E2"/>
    <w:lvl w:ilvl="0" w:tentative="0">
      <w:start w:val="1"/>
      <w:numFmt w:val="decimal"/>
      <w:suff w:val="nothing"/>
      <w:lvlText w:val="%1."/>
      <w:lvlJc w:val="right"/>
      <w:pPr>
        <w:tabs>
          <w:tab w:val="left" w:pos="0"/>
        </w:tabs>
        <w:ind w:left="0" w:firstLine="30"/>
      </w:pPr>
      <w:rPr>
        <w:rFonts w:hint="default" w:ascii="宋体" w:hAnsi="宋体" w:eastAsia="宋体" w:cs="宋体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GFjYTU0NGJmMGZiMzg1MWRjNGJiNGEzNTMzNDgifQ=="/>
  </w:docVars>
  <w:rsids>
    <w:rsidRoot w:val="005D28C8"/>
    <w:rsid w:val="005D28C8"/>
    <w:rsid w:val="00A7506A"/>
    <w:rsid w:val="01473EB5"/>
    <w:rsid w:val="0200448B"/>
    <w:rsid w:val="043D6C25"/>
    <w:rsid w:val="04F25C61"/>
    <w:rsid w:val="058A338B"/>
    <w:rsid w:val="07631C10"/>
    <w:rsid w:val="07EE6658"/>
    <w:rsid w:val="0B166CF5"/>
    <w:rsid w:val="0B404746"/>
    <w:rsid w:val="0E534A80"/>
    <w:rsid w:val="105E1750"/>
    <w:rsid w:val="13F834FC"/>
    <w:rsid w:val="15D136D0"/>
    <w:rsid w:val="15D735C4"/>
    <w:rsid w:val="18B85195"/>
    <w:rsid w:val="19B534C8"/>
    <w:rsid w:val="1A0C1079"/>
    <w:rsid w:val="1B9A265D"/>
    <w:rsid w:val="1DF45F31"/>
    <w:rsid w:val="1E9A6169"/>
    <w:rsid w:val="1E9D1168"/>
    <w:rsid w:val="1EF75353"/>
    <w:rsid w:val="1FDC47CA"/>
    <w:rsid w:val="218307B1"/>
    <w:rsid w:val="22E62A6A"/>
    <w:rsid w:val="23A7332D"/>
    <w:rsid w:val="260A04CE"/>
    <w:rsid w:val="275C345E"/>
    <w:rsid w:val="27AF2A80"/>
    <w:rsid w:val="28334B66"/>
    <w:rsid w:val="289C45E6"/>
    <w:rsid w:val="29167F0D"/>
    <w:rsid w:val="2A966BA5"/>
    <w:rsid w:val="2AD417E1"/>
    <w:rsid w:val="2E130F05"/>
    <w:rsid w:val="2EC42AC2"/>
    <w:rsid w:val="2EEB2AAE"/>
    <w:rsid w:val="305F5B0B"/>
    <w:rsid w:val="30F96F5C"/>
    <w:rsid w:val="311E1D9C"/>
    <w:rsid w:val="33880723"/>
    <w:rsid w:val="33E56635"/>
    <w:rsid w:val="348975E4"/>
    <w:rsid w:val="36835D47"/>
    <w:rsid w:val="36B4245F"/>
    <w:rsid w:val="37AA36DB"/>
    <w:rsid w:val="3BFF4B0F"/>
    <w:rsid w:val="3C160D0B"/>
    <w:rsid w:val="3C4A5F56"/>
    <w:rsid w:val="3C6B3599"/>
    <w:rsid w:val="3E950CEE"/>
    <w:rsid w:val="3F7251BC"/>
    <w:rsid w:val="41CA257F"/>
    <w:rsid w:val="42D273F3"/>
    <w:rsid w:val="43B33C06"/>
    <w:rsid w:val="447E252C"/>
    <w:rsid w:val="48642120"/>
    <w:rsid w:val="49255419"/>
    <w:rsid w:val="49A975C5"/>
    <w:rsid w:val="4A5A454A"/>
    <w:rsid w:val="4ADE7BD4"/>
    <w:rsid w:val="4C93347C"/>
    <w:rsid w:val="4D442A46"/>
    <w:rsid w:val="4D8A7F63"/>
    <w:rsid w:val="4F9A77D4"/>
    <w:rsid w:val="4FBC6973"/>
    <w:rsid w:val="52AB0355"/>
    <w:rsid w:val="53074686"/>
    <w:rsid w:val="536F3391"/>
    <w:rsid w:val="53991123"/>
    <w:rsid w:val="53EA4901"/>
    <w:rsid w:val="54416B23"/>
    <w:rsid w:val="56F5012C"/>
    <w:rsid w:val="57046D09"/>
    <w:rsid w:val="5AE616C4"/>
    <w:rsid w:val="5B857E0A"/>
    <w:rsid w:val="5D9A6E19"/>
    <w:rsid w:val="5F1A330F"/>
    <w:rsid w:val="60386FFC"/>
    <w:rsid w:val="60D31618"/>
    <w:rsid w:val="616852D3"/>
    <w:rsid w:val="61F838CB"/>
    <w:rsid w:val="622F4F6D"/>
    <w:rsid w:val="62BD39A0"/>
    <w:rsid w:val="639B4D0B"/>
    <w:rsid w:val="652F781F"/>
    <w:rsid w:val="65417AF2"/>
    <w:rsid w:val="655B2552"/>
    <w:rsid w:val="65982191"/>
    <w:rsid w:val="67311DA8"/>
    <w:rsid w:val="68874352"/>
    <w:rsid w:val="694D0B10"/>
    <w:rsid w:val="69ED6400"/>
    <w:rsid w:val="6B1F237B"/>
    <w:rsid w:val="6C7B278B"/>
    <w:rsid w:val="6D0A34F5"/>
    <w:rsid w:val="6E2C2368"/>
    <w:rsid w:val="70050FB3"/>
    <w:rsid w:val="7147661F"/>
    <w:rsid w:val="762D252C"/>
    <w:rsid w:val="76AA7764"/>
    <w:rsid w:val="772F685E"/>
    <w:rsid w:val="79132AA2"/>
    <w:rsid w:val="7BDF0A19"/>
    <w:rsid w:val="7CDD450A"/>
    <w:rsid w:val="7CEF3A46"/>
    <w:rsid w:val="7D57089A"/>
    <w:rsid w:val="7E135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 w:val="0"/>
      <w:keepLines w:val="0"/>
      <w:numPr>
        <w:ilvl w:val="0"/>
        <w:numId w:val="1"/>
      </w:numPr>
      <w:adjustRightInd w:val="0"/>
      <w:snapToGrid w:val="0"/>
      <w:spacing w:before="50" w:beforeLines="50" w:beforeAutospacing="0" w:after="50" w:afterLines="50" w:afterAutospacing="0" w:line="240" w:lineRule="auto"/>
      <w:ind w:left="0" w:firstLine="0" w:firstLineChars="0"/>
      <w:outlineLvl w:val="0"/>
    </w:pPr>
    <w:rPr>
      <w:rFonts w:eastAsia="黑体"/>
      <w:kern w:val="44"/>
      <w:sz w:val="32"/>
      <w:szCs w:val="32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numPr>
        <w:ilvl w:val="0"/>
        <w:numId w:val="2"/>
      </w:numPr>
      <w:adjustRightInd w:val="0"/>
      <w:snapToGrid w:val="0"/>
      <w:spacing w:before="50" w:beforeLines="50" w:after="50" w:afterLines="50" w:line="240" w:lineRule="auto"/>
      <w:ind w:left="0" w:firstLine="0" w:firstLineChars="0"/>
      <w:jc w:val="left"/>
      <w:outlineLvl w:val="1"/>
    </w:pPr>
    <w:rPr>
      <w:b/>
      <w:bCs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firstLine="880" w:firstLineChars="200"/>
    </w:pPr>
    <w:rPr>
      <w:rFonts w:ascii="仿宋_GB2312" w:hAnsi="仿宋_GB2312" w:eastAsia="仿宋_GB2312" w:cs="Arial"/>
      <w:bCs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ind w:firstLine="643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3024</Words>
  <Characters>3140</Characters>
  <Lines>4</Lines>
  <Paragraphs>1</Paragraphs>
  <TotalTime>6</TotalTime>
  <ScaleCrop>false</ScaleCrop>
  <LinksUpToDate>false</LinksUpToDate>
  <CharactersWithSpaces>3140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2023-05-16T01:06:00Z</dcterms:created>
  <dc:creator>Administrator</dc:creator>
  <cp:lastModifiedBy>明亮</cp:lastModifiedBy>
  <dcterms:modified xsi:type="dcterms:W3CDTF">2023-11-14T00:57:31Z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F5D6F75F166B4DD0B89E46A1463D0484_13</vt:lpwstr>
  </property>
</Properties>
</file>